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firstLine="221" w:firstLineChars="50"/>
        <w:jc w:val="left"/>
        <w:outlineLvl w:val="0"/>
        <w:rPr>
          <w:rFonts w:ascii="宋体" w:hAnsi="宋体" w:eastAsia="宋体" w:cs="宋体"/>
          <w:b/>
          <w:bCs/>
          <w:color w:val="auto"/>
          <w:kern w:val="36"/>
          <w:sz w:val="44"/>
          <w:szCs w:val="44"/>
        </w:rPr>
      </w:pPr>
      <w:r>
        <w:rPr>
          <w:rFonts w:ascii="宋体" w:hAnsi="宋体" w:eastAsia="宋体" w:cs="宋体"/>
          <w:b/>
          <w:bCs/>
          <w:color w:val="auto"/>
          <w:kern w:val="36"/>
          <w:sz w:val="44"/>
          <w:szCs w:val="44"/>
        </w:rPr>
        <w:t>教育部关于一流本科课程建设的实施意见</w:t>
      </w:r>
    </w:p>
    <w:p>
      <w:pPr>
        <w:widowControl/>
        <w:spacing w:before="100" w:beforeAutospacing="1" w:after="100" w:afterAutospacing="1"/>
        <w:ind w:firstLine="3600" w:firstLineChars="1500"/>
        <w:jc w:val="left"/>
        <w:outlineLvl w:val="0"/>
        <w:rPr>
          <w:rFonts w:ascii="宋体" w:hAnsi="宋体" w:eastAsia="宋体" w:cs="宋体"/>
          <w:color w:val="auto"/>
          <w:kern w:val="0"/>
          <w:sz w:val="24"/>
          <w:szCs w:val="24"/>
        </w:rPr>
      </w:pPr>
      <w:r>
        <w:rPr>
          <w:rFonts w:ascii="宋体" w:hAnsi="宋体" w:eastAsia="宋体" w:cs="宋体"/>
          <w:color w:val="auto"/>
          <w:kern w:val="0"/>
          <w:sz w:val="24"/>
          <w:szCs w:val="24"/>
        </w:rPr>
        <w:t>教高〔2019〕8号</w:t>
      </w:r>
    </w:p>
    <w:p>
      <w:pPr>
        <w:widowControl/>
        <w:spacing w:before="100" w:beforeAutospacing="1" w:after="100" w:afterAutospacing="1" w:line="48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各省、自治区、直辖市教育厅（教委）,新疆生产建设兵团教育局,有关部门（单位）教育司（局），部属各高等学校、部省合建各高等学校：</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w:t>
      </w:r>
      <w:bookmarkStart w:id="0" w:name="_GoBack"/>
      <w:bookmarkEnd w:id="0"/>
      <w:r>
        <w:rPr>
          <w:rFonts w:hint="eastAsia" w:ascii="宋体" w:hAnsi="宋体" w:eastAsia="宋体" w:cs="宋体"/>
          <w:color w:val="auto"/>
          <w:kern w:val="0"/>
          <w:sz w:val="24"/>
          <w:szCs w:val="24"/>
        </w:rPr>
        <w:t>实到课程建设上。现就一流本科课程建设提出如下实施意见。</w:t>
      </w:r>
    </w:p>
    <w:p>
      <w:pPr>
        <w:widowControl/>
        <w:spacing w:before="100" w:beforeAutospacing="1" w:after="100" w:afterAutospacing="1" w:line="480" w:lineRule="atLeast"/>
        <w:ind w:firstLine="482"/>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一、总体要求</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（一）指导思想</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（二）总体目标</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（三）基本原则</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——坚持分类建设。依据高校办学定位和人才培养目标定位，建设适应创新型、复合型、应用型人才培养需要的一流本科课程，实现不同类型高校一流本科课程建设全覆盖。</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提升高阶性。课程目标坚持知识、能力、素质有机融合，培养学生解决复杂问题的综合能力和高级思维。课程内容强调广度和深度，突破习惯性认知模式，培养学生深度分析、大胆质疑、勇于创新的精神和能力。</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——突出创新性。教学内容体现前沿性与时代性，及时将学术研究、科技发展前沿成果引入课程。教学方法体现先进性与互动性，大力推进现代信息技术与教学深度融合，积极引导学生进行探究式与个性化学习。</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增加挑战度。课程设计增加研究性、创新性、综合性内容，加大学生学习投入，科学“增负”，让学生体验“跳一跳才能够得着”的学习挑战。严格考核考试评价，增强学生经过刻苦学习收获能力和素质提高的成就感。</w:t>
      </w:r>
    </w:p>
    <w:p>
      <w:pPr>
        <w:widowControl/>
        <w:spacing w:before="100" w:beforeAutospacing="1" w:after="100" w:afterAutospacing="1" w:line="480" w:lineRule="atLeast"/>
        <w:ind w:firstLine="482"/>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二、建设内容</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四）改革方法，课堂活起来。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七）政策激励，教学热起来。以教学贡献为核心内容制定激励政策。加大课程建设的支持力度，加大优秀课程和教师的奖励力度，加大教学业绩在专业技术职务评聘中的权重，营造重视本科课程改革与建设的良好氛围。</w:t>
      </w:r>
    </w:p>
    <w:p>
      <w:pPr>
        <w:widowControl/>
        <w:spacing w:before="100" w:beforeAutospacing="1" w:after="100" w:afterAutospacing="1" w:line="480" w:lineRule="atLeast"/>
        <w:ind w:firstLine="482"/>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三、实施一流本科课程双万计划</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pPr>
        <w:widowControl/>
        <w:spacing w:before="100" w:beforeAutospacing="1" w:after="100" w:afterAutospacing="1" w:line="480" w:lineRule="atLeast"/>
        <w:ind w:firstLine="482"/>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四、组织管理</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（一）教育部负责统筹指导一流本科课程建设工作，组织有关专家和机构研究制定一流本科课程建设、应用与管理的相关标准规范。公布国家级一流本科课程推荐认定结果。</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省级教育行政部门研究制定省级一流本科课程建设实施方案，制定推动本地区一流本科课程建设与教学改革配套政策，建设省级一流本科课程。加强省级课程服务平台的管理，积极推动一流本科课程开放共享。</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（四）高等学校教学指导委员会要加强课程建设理论研究和分类指导，组织制订相关专业一流本科课程建设指南，引导高校汇聚优秀教师联合建设课程群，共享优质课程资源。</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（五）课程服务平台承担一流本科课程服务和数据安全保障的主体责任，配合开展课程审查和线上教学活动。要不断更新并提升技术和数据服务水平，监控和打击不良学习行为。加强课程平台间的交流与合作。 </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（六）中央部门所属高校统筹利用“中央高校教育教学改革专项”等各类资源支持一流本科课程建设。地方高校统筹地方财政高等教育资金和中央支持地方高校改革发展资金支持一流本科课程建设。</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附件：“双万计划”国家级一流本科课程推荐认定办法</w:t>
      </w:r>
    </w:p>
    <w:p>
      <w:pPr>
        <w:widowControl/>
        <w:spacing w:before="100" w:beforeAutospacing="1" w:after="100" w:afterAutospacing="1" w:line="480" w:lineRule="atLeast"/>
        <w:ind w:firstLine="480"/>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教育部</w:t>
      </w:r>
    </w:p>
    <w:p>
      <w:pPr>
        <w:widowControl/>
        <w:spacing w:before="100" w:beforeAutospacing="1" w:after="100" w:afterAutospacing="1" w:line="480" w:lineRule="atLeast"/>
        <w:ind w:firstLine="480"/>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2019年10月24日</w:t>
      </w:r>
    </w:p>
    <w:p>
      <w:pPr>
        <w:widowControl/>
        <w:spacing w:before="100" w:beforeAutospacing="1" w:after="100" w:afterAutospacing="1" w:line="480" w:lineRule="atLeast"/>
        <w:ind w:firstLine="482"/>
        <w:jc w:val="left"/>
        <w:rPr>
          <w:rFonts w:hint="eastAsia" w:ascii="宋体" w:hAnsi="宋体" w:eastAsia="宋体" w:cs="宋体"/>
          <w:b/>
          <w:bCs/>
          <w:color w:val="auto"/>
          <w:kern w:val="0"/>
          <w:sz w:val="24"/>
          <w:szCs w:val="24"/>
        </w:rPr>
      </w:pPr>
    </w:p>
    <w:p>
      <w:pPr>
        <w:widowControl/>
        <w:spacing w:before="100" w:beforeAutospacing="1" w:after="100" w:afterAutospacing="1" w:line="480" w:lineRule="atLeast"/>
        <w:ind w:firstLine="482"/>
        <w:jc w:val="left"/>
        <w:rPr>
          <w:rFonts w:hint="eastAsia" w:ascii="宋体" w:hAnsi="宋体" w:eastAsia="宋体" w:cs="宋体"/>
          <w:b/>
          <w:bCs/>
          <w:color w:val="auto"/>
          <w:kern w:val="0"/>
          <w:sz w:val="24"/>
          <w:szCs w:val="24"/>
        </w:rPr>
      </w:pPr>
    </w:p>
    <w:p>
      <w:pPr>
        <w:widowControl/>
        <w:spacing w:before="100" w:beforeAutospacing="1" w:after="100" w:afterAutospacing="1" w:line="480" w:lineRule="atLeast"/>
        <w:ind w:firstLine="482"/>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附件</w:t>
      </w:r>
    </w:p>
    <w:p>
      <w:pPr>
        <w:widowControl/>
        <w:spacing w:before="100" w:beforeAutospacing="1" w:after="100" w:afterAutospacing="1" w:line="480" w:lineRule="atLeast"/>
        <w:ind w:firstLine="482"/>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“双万计划”国家级一流本科课程</w:t>
      </w:r>
    </w:p>
    <w:p>
      <w:pPr>
        <w:widowControl/>
        <w:spacing w:before="100" w:beforeAutospacing="1" w:after="100" w:afterAutospacing="1" w:line="480" w:lineRule="atLeast"/>
        <w:ind w:firstLine="482"/>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推荐认定办法</w:t>
      </w:r>
    </w:p>
    <w:p>
      <w:pPr>
        <w:widowControl/>
        <w:spacing w:before="100" w:beforeAutospacing="1" w:after="100" w:afterAutospacing="1" w:line="480" w:lineRule="atLeast"/>
        <w:ind w:firstLine="482"/>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一、推荐范围</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普通本科高校纳入人才培养方案且设置学分的本科课程均可推荐，包括思想政治理论课、公共基础课、专业基础课、专业课以及通识课等独立设置的本科理论课程、实验课程和社会实践课程等。</w:t>
      </w:r>
    </w:p>
    <w:p>
      <w:pPr>
        <w:widowControl/>
        <w:spacing w:before="100" w:beforeAutospacing="1" w:after="100" w:afterAutospacing="1" w:line="480" w:lineRule="atLeast"/>
        <w:ind w:firstLine="482"/>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二、推荐类型与计划</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线上一流课程。即国家精品在线开放课程，突出优质、开放、共享，打造中国慕课品牌。完成4000门左右国家精品在线开放课程认定，构建内容更加丰富、结构更加合理、类别更加全面的国家级精品慕课体系。</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pPr>
        <w:widowControl/>
        <w:spacing w:before="100" w:beforeAutospacing="1" w:after="100" w:afterAutospacing="1" w:line="480" w:lineRule="atLeast"/>
        <w:ind w:firstLine="482"/>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三、推荐条件</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（一）教学理念先进。坚持立德树人，体现以学生发展为中心，致力于开启学生内在潜力和学习动力，注重学生德智体美劳全面发展。</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（三）课程目标有效支撑培养目标达成。课程目标符合学校办学定位和人才培养目标，注重知识、能力、素质培养。</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（四）课程教学设计科学合理。围绕目标达成、教学内容、组织实施和多元评价需求进行整体规划，教学策略、教学方法、教学过程、教学评价等设计合理。</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（六）教学组织与实施突出学生中心地位。根据学生认知规律和接受特点，创新教与学模式，因材施教，促进师生之间、学生之间的交流互动、资源共享、知识生成，教学反馈及时，教学效果显著。</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（七）课程管理与评价科学且可测量。教师备课要求明确，学生学习管理严格。针对教学目标、教学内容、教学组织等采用多元化考核评价，过程可回溯，诊断改进积极有效。教学过程材料完整，可借鉴可监督。</w:t>
      </w:r>
    </w:p>
    <w:p>
      <w:pPr>
        <w:widowControl/>
        <w:spacing w:before="100" w:beforeAutospacing="1" w:after="100" w:afterAutospacing="1" w:line="480" w:lineRule="atLeast"/>
        <w:ind w:firstLine="482"/>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四、推荐方式</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除线上一流课程、虚拟仿真实验教学一流课程继续按有关文件实施外，线下一流课程、线上线下混合式一流课程和社会实践一流课程采用以下推荐方式。</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（一）推荐总额</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教育部按照国家级线下一流课程、线上线下混合式一流课程和社会实践一流课程三年计划总数确定推荐总额，分别下达至中央部门所属高校和各省级教育行政部门。</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（二）分赛道推荐</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按照中央部门所属高校、地方高校的办学定位和培养目标特点分赛道推荐，名额分列。部省合建高校推荐课程纳入中央部门所属高校赛道。</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（三）推荐方式</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（四）推荐材料要求</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课程团队须提交申报书、时长10分钟内的说课视频（包括教学理念、课程设计、课程实施、改革成效等）和其他佐证材料。</w:t>
      </w:r>
    </w:p>
    <w:p>
      <w:pPr>
        <w:widowControl/>
        <w:spacing w:before="100" w:beforeAutospacing="1" w:after="100" w:afterAutospacing="1" w:line="480" w:lineRule="atLeast"/>
        <w:ind w:firstLine="482"/>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五、认定方式</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教育部分年度组织专家对推荐课程进行认定，经公示后向社会发布。对课程团队成员存在师德师风问题、学术不端问题、五年内出现过重大教学事故，课程内容存在思想性科学性问题的，实行一票否决。</w:t>
      </w:r>
    </w:p>
    <w:p>
      <w:pPr>
        <w:widowControl/>
        <w:spacing w:before="100" w:beforeAutospacing="1" w:after="100" w:afterAutospacing="1" w:line="480" w:lineRule="atLeast"/>
        <w:ind w:firstLine="482"/>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六、认定课程管理</w:t>
      </w:r>
    </w:p>
    <w:p>
      <w:pPr>
        <w:widowControl/>
        <w:spacing w:before="100" w:beforeAutospacing="1" w:after="100" w:afterAutospacing="1" w:line="48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pPr>
        <w:widowControl/>
        <w:spacing w:before="100" w:beforeAutospacing="1" w:after="100" w:afterAutospacing="1"/>
        <w:jc w:val="left"/>
        <w:rPr>
          <w:rFonts w:ascii="宋体" w:hAnsi="宋体" w:eastAsia="宋体" w:cs="宋体"/>
          <w:color w:val="auto"/>
          <w:kern w:val="0"/>
          <w:sz w:val="24"/>
          <w:szCs w:val="24"/>
        </w:rPr>
      </w:pPr>
      <w:r>
        <w:rPr>
          <w:rFonts w:ascii="宋体" w:hAnsi="宋体" w:eastAsia="宋体" w:cs="宋体"/>
          <w:color w:val="auto"/>
          <w:kern w:val="0"/>
          <w:sz w:val="24"/>
          <w:szCs w:val="24"/>
        </w:rPr>
        <w:t>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59"/>
    <w:rsid w:val="005263FA"/>
    <w:rsid w:val="00591578"/>
    <w:rsid w:val="00BF3732"/>
    <w:rsid w:val="00C75F59"/>
    <w:rsid w:val="00F04194"/>
    <w:rsid w:val="59F4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855</Words>
  <Characters>4874</Characters>
  <Lines>40</Lines>
  <Paragraphs>11</Paragraphs>
  <TotalTime>2</TotalTime>
  <ScaleCrop>false</ScaleCrop>
  <LinksUpToDate>false</LinksUpToDate>
  <CharactersWithSpaces>5718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2019-11-25T02:09:00Z</dcterms:created>
  <dc:creator>User</dc:creator>
  <cp:lastModifiedBy>Julia am Ufer </cp:lastModifiedBy>
  <dcterms:modified xsi:type="dcterms:W3CDTF">2019-11-28T05:32:49Z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